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BE66E2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bookmarkStart w:id="0" w:name="_GoBack"/>
      <w:bookmarkEnd w:id="0"/>
    </w:p>
    <w:p w:rsidR="00335F28" w:rsidRPr="00BE66E2" w:rsidRDefault="00335F28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E5F62" w:rsidRPr="00BE66E2" w:rsidRDefault="00CC482C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66E2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335F28" w:rsidRPr="00BE66E2" w:rsidRDefault="00335F28" w:rsidP="00335F2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66E2">
        <w:rPr>
          <w:rFonts w:ascii="GHEA Grapalat" w:hAnsi="GHEA Grapalat" w:cs="Sylfaen"/>
          <w:b/>
          <w:sz w:val="18"/>
          <w:szCs w:val="18"/>
          <w:lang w:val="af-ZA"/>
        </w:rPr>
        <w:t>գնման ընթացակարգ</w:t>
      </w:r>
      <w:r w:rsidR="000A6CCD">
        <w:rPr>
          <w:rFonts w:ascii="GHEA Grapalat" w:hAnsi="GHEA Grapalat" w:cs="Sylfaen"/>
          <w:b/>
          <w:sz w:val="18"/>
          <w:szCs w:val="18"/>
          <w:lang w:val="af-ZA"/>
        </w:rPr>
        <w:t>ում</w:t>
      </w:r>
      <w:r w:rsidRPr="00BE66E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0A6CCD">
        <w:rPr>
          <w:rFonts w:ascii="GHEA Grapalat" w:hAnsi="GHEA Grapalat" w:cs="Sylfaen"/>
          <w:b/>
          <w:sz w:val="18"/>
          <w:szCs w:val="18"/>
          <w:lang w:val="af-ZA"/>
        </w:rPr>
        <w:t>չափաբաժինների վրիպակը ուղղելու</w:t>
      </w:r>
      <w:r w:rsidRPr="00BE66E2">
        <w:rPr>
          <w:rFonts w:ascii="GHEA Grapalat" w:hAnsi="GHEA Grapalat" w:cs="Sylfaen"/>
          <w:b/>
          <w:sz w:val="18"/>
          <w:szCs w:val="18"/>
          <w:lang w:val="af-ZA"/>
        </w:rPr>
        <w:t xml:space="preserve"> մասին</w:t>
      </w:r>
    </w:p>
    <w:p w:rsidR="00765F01" w:rsidRPr="00BE66E2" w:rsidRDefault="00765F01" w:rsidP="003F188D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F6EC1" w:rsidRPr="00BE66E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:rsidR="00EF6EC1" w:rsidRPr="00BE66E2" w:rsidRDefault="00EF6EC1" w:rsidP="00EF6EC1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E66E2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DD6CD6" w:rsidRPr="00BE66E2">
        <w:rPr>
          <w:rFonts w:ascii="GHEA Grapalat" w:hAnsi="GHEA Grapalat"/>
          <w:b w:val="0"/>
          <w:sz w:val="18"/>
          <w:szCs w:val="18"/>
          <w:lang w:val="af-ZA"/>
        </w:rPr>
        <w:t>`</w:t>
      </w:r>
      <w:r w:rsidRPr="00BE66E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71798" w:rsidRPr="00471798">
        <w:rPr>
          <w:rFonts w:ascii="GHEA Grapalat" w:hAnsi="GHEA Grapalat"/>
          <w:b w:val="0"/>
          <w:sz w:val="18"/>
          <w:szCs w:val="18"/>
          <w:lang w:val="af-ZA"/>
        </w:rPr>
        <w:t>ՏԴՊԱԿ-ԳՀԱՊՁԲ-19/</w:t>
      </w:r>
      <w:r w:rsidR="000A6CCD">
        <w:rPr>
          <w:rFonts w:ascii="GHEA Grapalat" w:hAnsi="GHEA Grapalat"/>
          <w:b w:val="0"/>
          <w:sz w:val="18"/>
          <w:szCs w:val="18"/>
          <w:lang w:val="af-ZA"/>
        </w:rPr>
        <w:t>21</w:t>
      </w:r>
    </w:p>
    <w:p w:rsidR="00EF6EC1" w:rsidRPr="00BE66E2" w:rsidRDefault="00EF6EC1" w:rsidP="007019C5">
      <w:pPr>
        <w:pStyle w:val="Heading3"/>
        <w:ind w:firstLine="0"/>
        <w:rPr>
          <w:rFonts w:ascii="Sylfaen" w:hAnsi="Sylfaen"/>
          <w:sz w:val="18"/>
          <w:szCs w:val="18"/>
          <w:lang w:val="af-ZA"/>
        </w:rPr>
      </w:pPr>
    </w:p>
    <w:p w:rsidR="00D732C4" w:rsidRPr="00BE66E2" w:rsidRDefault="004C69B1" w:rsidP="00283FD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66E2">
        <w:rPr>
          <w:rFonts w:ascii="Sylfaen" w:hAnsi="Sylfaen" w:cs="Sylfaen"/>
          <w:sz w:val="18"/>
          <w:szCs w:val="18"/>
          <w:lang w:val="af-ZA"/>
        </w:rPr>
        <w:t xml:space="preserve">ՀՀ ԱՆ 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Pr="00BE66E2">
        <w:rPr>
          <w:rFonts w:ascii="Sylfaen" w:hAnsi="Sylfaen" w:cs="Sylfaen"/>
          <w:sz w:val="18"/>
          <w:szCs w:val="18"/>
          <w:lang w:val="af-ZA"/>
        </w:rPr>
        <w:t>Տուբերկուլոզի դեմ պայքարի ազգային կենտրոն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>» ՊՈԱԿ-ը</w:t>
      </w:r>
      <w:r w:rsidR="000A6C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A6CCD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0A6CCD" w:rsidRPr="00471798">
        <w:rPr>
          <w:rFonts w:ascii="GHEA Grapalat" w:hAnsi="GHEA Grapalat" w:cs="Sylfaen"/>
          <w:sz w:val="18"/>
          <w:szCs w:val="18"/>
          <w:lang w:val="af-ZA"/>
        </w:rPr>
        <w:t>ՏԴՊԱԿ-ԳՀԱՊՁԲ-19/</w:t>
      </w:r>
      <w:r w:rsidR="000A6CCD">
        <w:rPr>
          <w:rFonts w:ascii="GHEA Grapalat" w:hAnsi="GHEA Grapalat" w:cs="Sylfaen"/>
          <w:sz w:val="18"/>
          <w:szCs w:val="18"/>
          <w:lang w:val="af-ZA"/>
        </w:rPr>
        <w:t>21</w:t>
      </w:r>
      <w:r w:rsidR="000A6CCD" w:rsidRPr="00BE66E2">
        <w:rPr>
          <w:rFonts w:ascii="GHEA Grapalat" w:hAnsi="GHEA Grapalat" w:cs="Sylfaen"/>
          <w:sz w:val="18"/>
          <w:szCs w:val="18"/>
          <w:lang w:val="af-ZA"/>
        </w:rPr>
        <w:t>» ծածկագրով գնման ընթացակարգ</w:t>
      </w:r>
      <w:r w:rsidR="000A6CCD">
        <w:rPr>
          <w:rFonts w:ascii="GHEA Grapalat" w:hAnsi="GHEA Grapalat" w:cs="Sylfaen"/>
          <w:sz w:val="18"/>
          <w:szCs w:val="18"/>
          <w:lang w:val="af-ZA"/>
        </w:rPr>
        <w:t>ի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A6CCD" w:rsidRPr="000A6CCD">
        <w:rPr>
          <w:rFonts w:ascii="GHEA Grapalat" w:hAnsi="GHEA Grapalat" w:cs="Sylfaen"/>
          <w:sz w:val="18"/>
          <w:szCs w:val="18"/>
          <w:lang w:val="af-ZA"/>
        </w:rPr>
        <w:t xml:space="preserve">չափաբաժինների վրիպակը ուղղելու մասին ներկայացնում է </w:t>
      </w:r>
      <w:r w:rsidR="000A6CCD" w:rsidRPr="00BE66E2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="000A6CCD" w:rsidRPr="000A6C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732C4" w:rsidRPr="00BE66E2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tbl>
      <w:tblPr>
        <w:tblW w:w="10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693"/>
        <w:gridCol w:w="2410"/>
        <w:gridCol w:w="2466"/>
      </w:tblGrid>
      <w:tr w:rsidR="00A72AAE" w:rsidRPr="000A6CCD" w:rsidTr="00471798">
        <w:trPr>
          <w:trHeight w:val="6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72AAE" w:rsidRPr="00BE66E2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AAE" w:rsidRPr="00BE66E2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856" w:rsidRPr="00BE66E2" w:rsidRDefault="00CC482C" w:rsidP="000A6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BE6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66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BE66E2" w:rsidRDefault="000A6CC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Գինն առանց ԱԱՀ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72AAE" w:rsidRPr="00BE66E2" w:rsidRDefault="000A6CC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Գինն ԱԱՀ ներառյալ</w:t>
            </w:r>
          </w:p>
        </w:tc>
      </w:tr>
      <w:tr w:rsidR="004B5308" w:rsidRPr="00BE66E2" w:rsidTr="004B5308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B5308" w:rsidRPr="0021511B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5308" w:rsidRPr="0021511B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B5308">
              <w:rPr>
                <w:rFonts w:ascii="Sylfaen" w:hAnsi="Sylfaen" w:cs="Sylfaen"/>
                <w:sz w:val="18"/>
                <w:szCs w:val="18"/>
                <w:lang w:val="af-ZA"/>
              </w:rPr>
              <w:t>Ներարկիչ  (ինսուլինի ) 1մլ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21511B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Լեյկո ՍՊԸ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BE66E2" w:rsidRDefault="004B5308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37916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BE66E2" w:rsidRDefault="004B5308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45500</w:t>
            </w:r>
          </w:p>
        </w:tc>
      </w:tr>
      <w:tr w:rsidR="004B5308" w:rsidRPr="00BE66E2" w:rsidTr="004B5308">
        <w:trPr>
          <w:trHeight w:val="31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4B5308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5308" w:rsidRPr="004B5308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Pr="0021511B" w:rsidRDefault="004B5308" w:rsidP="00AF088A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Default="00B72D8F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45045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Default="004B5308" w:rsidP="00AF0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45045</w:t>
            </w:r>
          </w:p>
        </w:tc>
      </w:tr>
      <w:tr w:rsidR="004B5308" w:rsidRPr="00BE66E2" w:rsidTr="004B5308">
        <w:trPr>
          <w:trHeight w:val="33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5308" w:rsidRDefault="004B5308" w:rsidP="004B530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Սոնոգրաֆիայի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250մլ</w:t>
            </w:r>
          </w:p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Լեյկո ՍՊԸ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BE66E2" w:rsidRDefault="004B5308" w:rsidP="004B53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70000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08" w:rsidRPr="00BE66E2" w:rsidRDefault="004B5308" w:rsidP="004B53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84000</w:t>
            </w:r>
          </w:p>
        </w:tc>
      </w:tr>
      <w:tr w:rsidR="004B5308" w:rsidRPr="00BE66E2" w:rsidTr="004B5308">
        <w:trPr>
          <w:trHeight w:val="301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Pr="0021511B" w:rsidRDefault="004B5308" w:rsidP="004B53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Pr="00BE66E2" w:rsidRDefault="00B72D8F" w:rsidP="004B53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76104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308" w:rsidRPr="00BE66E2" w:rsidRDefault="00B72D8F" w:rsidP="004B53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76104</w:t>
            </w:r>
          </w:p>
        </w:tc>
      </w:tr>
      <w:tr w:rsidR="00B72D8F" w:rsidRPr="00BE66E2" w:rsidTr="004B5308">
        <w:trPr>
          <w:trHeight w:val="34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72D8F" w:rsidRDefault="00B72D8F" w:rsidP="00B72D8F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Փոխներարկման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համակարգ</w:t>
            </w:r>
            <w:proofErr w:type="spellEnd"/>
          </w:p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Լեյկո ՍՊԸ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8F" w:rsidRPr="00BE66E2" w:rsidRDefault="00B72D8F" w:rsidP="00B72D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562500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8F" w:rsidRPr="00BE66E2" w:rsidRDefault="00B72D8F" w:rsidP="00B72D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67500</w:t>
            </w:r>
          </w:p>
        </w:tc>
      </w:tr>
      <w:tr w:rsidR="00B72D8F" w:rsidRPr="00BE66E2" w:rsidTr="004B5308">
        <w:trPr>
          <w:trHeight w:val="28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8F" w:rsidRPr="0021511B" w:rsidRDefault="00B72D8F" w:rsidP="00B72D8F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8F" w:rsidRPr="00BE66E2" w:rsidRDefault="00B72D8F" w:rsidP="00B72D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652000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8F" w:rsidRPr="00BE66E2" w:rsidRDefault="00B72D8F" w:rsidP="00B72D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652000</w:t>
            </w:r>
          </w:p>
        </w:tc>
      </w:tr>
    </w:tbl>
    <w:p w:rsidR="00BE66E2" w:rsidRDefault="00BE66E2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72D8F" w:rsidRPr="00BE66E2" w:rsidRDefault="00B72D8F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E6894">
        <w:rPr>
          <w:rFonts w:ascii="GHEA Grapalat" w:hAnsi="GHEA Grapalat" w:cs="Sylfaen"/>
          <w:b/>
          <w:sz w:val="18"/>
          <w:szCs w:val="18"/>
          <w:lang w:val="af-ZA"/>
        </w:rPr>
        <w:t>Չափաբաժիններ 56, 72 և 77-ի համար ընտրված և որպես ցածր գնային առ</w:t>
      </w:r>
      <w:r w:rsidR="003E6894" w:rsidRPr="003E6894">
        <w:rPr>
          <w:rFonts w:ascii="GHEA Grapalat" w:hAnsi="GHEA Grapalat" w:cs="Sylfaen"/>
          <w:b/>
          <w:sz w:val="18"/>
          <w:szCs w:val="18"/>
          <w:lang w:val="af-ZA"/>
        </w:rPr>
        <w:t>աջարկ դիտարկվել էր Նատալի ՍՊԸ-ն</w:t>
      </w:r>
      <w:r w:rsidR="003E6894">
        <w:rPr>
          <w:rFonts w:ascii="GHEA Grapalat" w:hAnsi="GHEA Grapalat" w:cs="Sylfaen"/>
          <w:sz w:val="18"/>
          <w:szCs w:val="18"/>
          <w:lang w:val="af-ZA"/>
        </w:rPr>
        <w:t xml:space="preserve">, սակայն պայմանագիր կնքելու մասին հայտարարությունը կազմելիս պարզ դարձավ, որ տեղի է ունեցել սխալ: Հիմք ընդունելով </w:t>
      </w:r>
      <w:r w:rsidR="003E6894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3E6894">
        <w:rPr>
          <w:rFonts w:ascii="GHEA Grapalat" w:hAnsi="GHEA Grapalat" w:cs="Sylfaen"/>
          <w:sz w:val="18"/>
          <w:szCs w:val="18"/>
          <w:lang w:val="af-ZA"/>
        </w:rPr>
        <w:t>գնումների մասին</w:t>
      </w:r>
      <w:r w:rsidR="003E6894" w:rsidRPr="00BE66E2">
        <w:rPr>
          <w:rFonts w:ascii="GHEA Grapalat" w:hAnsi="GHEA Grapalat" w:cs="Sylfaen"/>
          <w:sz w:val="18"/>
          <w:szCs w:val="18"/>
          <w:lang w:val="af-ZA"/>
        </w:rPr>
        <w:t>»</w:t>
      </w:r>
      <w:r w:rsidR="003E6894">
        <w:rPr>
          <w:rFonts w:ascii="GHEA Grapalat" w:hAnsi="GHEA Grapalat" w:cs="Sylfaen"/>
          <w:sz w:val="18"/>
          <w:szCs w:val="18"/>
          <w:lang w:val="af-ZA"/>
        </w:rPr>
        <w:t xml:space="preserve"> օրենքի 34-րդ կետի 3-րդ ենթակետը՝ </w:t>
      </w:r>
      <w:r w:rsidR="003E6894" w:rsidRPr="003E6894">
        <w:rPr>
          <w:rFonts w:ascii="GHEA Grapalat" w:hAnsi="GHEA Grapalat" w:cs="Sylfaen"/>
          <w:sz w:val="18"/>
          <w:szCs w:val="18"/>
          <w:lang w:val="af-ZA"/>
        </w:rPr>
        <w:t>Եթե մասնակիցը տվյալ գործարքի գծով պետական բյուջե պետք է վճարի ավելացված արժեքի հարկ, ապա գնային առաջարկում առանձին տողով նախատեսվում է այդ հարկատեսակի գծով վճարվելիք գումարի չափը: Ընդ որում, մասնակիցների գնային առաջարկների գնահատումն ու համեմատումն իրականացվում են առանց սույն մասում</w:t>
      </w:r>
      <w:r w:rsidR="003E6894">
        <w:rPr>
          <w:rFonts w:ascii="GHEA Grapalat" w:hAnsi="GHEA Grapalat" w:cs="Sylfaen"/>
          <w:sz w:val="18"/>
          <w:szCs w:val="18"/>
          <w:lang w:val="af-ZA"/>
        </w:rPr>
        <w:t xml:space="preserve"> նշված հարկի գումարի հաշվարկման, հետևաբար չափաբաժիններ </w:t>
      </w:r>
      <w:r w:rsidR="003E6894" w:rsidRPr="003E6894">
        <w:rPr>
          <w:rFonts w:ascii="GHEA Grapalat" w:hAnsi="GHEA Grapalat" w:cs="Sylfaen"/>
          <w:b/>
          <w:sz w:val="18"/>
          <w:szCs w:val="18"/>
          <w:lang w:val="af-ZA"/>
        </w:rPr>
        <w:t>56, 72 և 77-ի համար ընտրված և ցածր գնային առաջարկ ներկայացրած մասնակից է համարվում Լեյկո ՍՊԸ</w:t>
      </w:r>
      <w:r w:rsidR="003E6894">
        <w:rPr>
          <w:rFonts w:ascii="GHEA Grapalat" w:hAnsi="GHEA Grapalat" w:cs="Sylfaen"/>
          <w:sz w:val="18"/>
          <w:szCs w:val="18"/>
          <w:lang w:val="af-ZA"/>
        </w:rPr>
        <w:t>-ն:</w:t>
      </w:r>
    </w:p>
    <w:p w:rsidR="002C44C4" w:rsidRPr="00BE66E2" w:rsidRDefault="002C44C4" w:rsidP="00DD6CD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հետ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E68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եք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66E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D7321" w:rsidRPr="00BE66E2" w:rsidRDefault="00FD7321" w:rsidP="00DD6CD6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2C44C4" w:rsidRPr="00BE66E2" w:rsidRDefault="00C56CE3" w:rsidP="00DD6CD6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      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Տ</w:t>
      </w:r>
      <w:r w:rsidR="0028116A">
        <w:rPr>
          <w:rFonts w:ascii="Sylfaen" w:hAnsi="Sylfaen" w:cs="Sylfaen"/>
          <w:sz w:val="18"/>
          <w:szCs w:val="18"/>
          <w:lang w:val="af-ZA"/>
        </w:rPr>
        <w:t>ԴՊ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ԱԿ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-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ԳՀԱՊՁԲ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-</w:t>
      </w:r>
      <w:r w:rsidR="0028116A">
        <w:rPr>
          <w:rFonts w:ascii="GHEA Grapalat" w:hAnsi="GHEA Grapalat" w:cs="Sylfaen"/>
          <w:sz w:val="18"/>
          <w:szCs w:val="18"/>
          <w:lang w:val="af-ZA"/>
        </w:rPr>
        <w:t>19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/</w:t>
      </w:r>
      <w:r w:rsidR="00B72D8F">
        <w:rPr>
          <w:rFonts w:ascii="GHEA Grapalat" w:hAnsi="GHEA Grapalat" w:cs="Sylfaen"/>
          <w:sz w:val="18"/>
          <w:szCs w:val="18"/>
          <w:lang w:val="af-ZA"/>
        </w:rPr>
        <w:t>21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C44C4"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ծածկագրով գն</w:t>
      </w:r>
      <w:r w:rsidR="00FE46CA" w:rsidRPr="00BE66E2">
        <w:rPr>
          <w:rFonts w:ascii="GHEA Grapalat" w:hAnsi="GHEA Grapalat" w:cs="Sylfaen"/>
          <w:b w:val="0"/>
          <w:sz w:val="18"/>
          <w:szCs w:val="18"/>
          <w:lang w:val="af-ZA"/>
        </w:rPr>
        <w:t>ումների համակարգող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FE46CA" w:rsidRPr="00BE66E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A6870" w:rsidRPr="00BE66E2">
        <w:rPr>
          <w:rFonts w:ascii="Sylfaen" w:hAnsi="Sylfaen" w:cs="Sylfaen"/>
          <w:b w:val="0"/>
          <w:sz w:val="18"/>
          <w:szCs w:val="18"/>
          <w:lang w:val="af-ZA"/>
        </w:rPr>
        <w:t>Ա</w:t>
      </w:r>
      <w:r w:rsidRPr="00BE66E2">
        <w:rPr>
          <w:rFonts w:ascii="GHEA Grapalat" w:hAnsi="GHEA Grapalat" w:cs="Sylfaen"/>
          <w:b w:val="0"/>
          <w:sz w:val="18"/>
          <w:szCs w:val="18"/>
          <w:lang w:val="af-ZA"/>
        </w:rPr>
        <w:t>.</w:t>
      </w:r>
      <w:r w:rsidR="009C79C4" w:rsidRPr="00BE66E2">
        <w:rPr>
          <w:rFonts w:ascii="GHEA Grapalat" w:hAnsi="GHEA Grapalat" w:cs="Sylfaen"/>
          <w:b w:val="0"/>
          <w:sz w:val="18"/>
          <w:szCs w:val="18"/>
          <w:lang w:val="af-ZA"/>
        </w:rPr>
        <w:t>Չոբանյանին</w:t>
      </w:r>
      <w:r w:rsidR="002C44C4" w:rsidRPr="00BE66E2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2C44C4" w:rsidRPr="00BE66E2" w:rsidRDefault="002C44C4" w:rsidP="00DD6CD6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</w:p>
    <w:p w:rsidR="002C44C4" w:rsidRPr="00BE66E2" w:rsidRDefault="002C44C4" w:rsidP="00DD6C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E66E2">
        <w:rPr>
          <w:rFonts w:ascii="GHEA Grapalat" w:hAnsi="GHEA Grapalat"/>
          <w:sz w:val="18"/>
          <w:szCs w:val="18"/>
          <w:lang w:val="af-ZA"/>
        </w:rPr>
        <w:t xml:space="preserve"> </w:t>
      </w:r>
      <w:r w:rsidR="0028116A">
        <w:rPr>
          <w:rFonts w:ascii="GHEA Grapalat" w:hAnsi="GHEA Grapalat"/>
          <w:sz w:val="18"/>
          <w:szCs w:val="18"/>
          <w:lang w:val="af-ZA"/>
        </w:rPr>
        <w:t>098-012-566</w:t>
      </w:r>
      <w:r w:rsidRPr="00BE66E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44C4" w:rsidRPr="00BE66E2" w:rsidRDefault="002C44C4" w:rsidP="00DD6CD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>Էլեկտր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>ո</w:t>
      </w:r>
      <w:r w:rsidRPr="00BE66E2">
        <w:rPr>
          <w:rFonts w:ascii="GHEA Grapalat" w:hAnsi="GHEA Grapalat" w:cs="Sylfaen"/>
          <w:sz w:val="18"/>
          <w:szCs w:val="18"/>
          <w:lang w:val="af-ZA"/>
        </w:rPr>
        <w:t xml:space="preserve">նային փոստ՝ </w:t>
      </w:r>
      <w:r w:rsidR="000B4573" w:rsidRPr="00BE66E2">
        <w:rPr>
          <w:rFonts w:ascii="GHEA Grapalat" w:hAnsi="GHEA Grapalat" w:cs="Sylfaen"/>
          <w:sz w:val="18"/>
          <w:szCs w:val="18"/>
          <w:lang w:val="af-ZA"/>
        </w:rPr>
        <w:t>ann86.86</w:t>
      </w:r>
      <w:r w:rsidR="00C56CE3" w:rsidRPr="00BE66E2">
        <w:rPr>
          <w:rFonts w:ascii="GHEA Grapalat" w:hAnsi="GHEA Grapalat" w:cs="Sylfaen"/>
          <w:sz w:val="18"/>
          <w:szCs w:val="18"/>
          <w:lang w:val="af-ZA"/>
        </w:rPr>
        <w:t xml:space="preserve">@mail.ru </w:t>
      </w:r>
      <w:r w:rsidRPr="00BE66E2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613058" w:rsidRPr="00BE66E2" w:rsidRDefault="002C44C4" w:rsidP="00E012D9">
      <w:pPr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BE66E2">
        <w:rPr>
          <w:rFonts w:ascii="GHEA Grapalat" w:hAnsi="GHEA Grapalat" w:cs="Sylfaen"/>
          <w:sz w:val="18"/>
          <w:szCs w:val="18"/>
          <w:lang w:val="af-ZA"/>
        </w:rPr>
        <w:tab/>
      </w:r>
      <w:r w:rsidRPr="00BE66E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Պատվիրատու` 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 xml:space="preserve"> ՀՀ ԱՆ 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>«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Տուբերկուլոզի դեմ պայքարի ազգային կենտրոն</w:t>
      </w:r>
      <w:r w:rsidR="008A6870" w:rsidRPr="00BE66E2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8A6870" w:rsidRPr="00BE66E2">
        <w:rPr>
          <w:rFonts w:ascii="Sylfaen" w:hAnsi="Sylfaen" w:cs="Sylfaen"/>
          <w:sz w:val="18"/>
          <w:szCs w:val="18"/>
          <w:lang w:val="af-ZA"/>
        </w:rPr>
        <w:t>ՊՈԱԿ</w:t>
      </w:r>
    </w:p>
    <w:sectPr w:rsidR="00613058" w:rsidRPr="00BE66E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81" w:rsidRDefault="00E90F81">
      <w:r>
        <w:separator/>
      </w:r>
    </w:p>
  </w:endnote>
  <w:endnote w:type="continuationSeparator" w:id="0">
    <w:p w:rsidR="00E90F81" w:rsidRDefault="00E9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4" w:rsidRDefault="00A540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4004" w:rsidRDefault="00A540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4" w:rsidRDefault="00A540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81" w:rsidRDefault="00E90F81">
      <w:r>
        <w:separator/>
      </w:r>
    </w:p>
  </w:footnote>
  <w:footnote w:type="continuationSeparator" w:id="0">
    <w:p w:rsidR="00E90F81" w:rsidRDefault="00E9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859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6CCD"/>
    <w:rsid w:val="000B4573"/>
    <w:rsid w:val="000C210A"/>
    <w:rsid w:val="000C3715"/>
    <w:rsid w:val="000C6B8B"/>
    <w:rsid w:val="000D0C32"/>
    <w:rsid w:val="000D3C84"/>
    <w:rsid w:val="001008BD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1BB"/>
    <w:rsid w:val="001C521B"/>
    <w:rsid w:val="001C578F"/>
    <w:rsid w:val="001F5BAF"/>
    <w:rsid w:val="00205535"/>
    <w:rsid w:val="002137CA"/>
    <w:rsid w:val="0021511B"/>
    <w:rsid w:val="0022406C"/>
    <w:rsid w:val="00226F64"/>
    <w:rsid w:val="00237045"/>
    <w:rsid w:val="00237D02"/>
    <w:rsid w:val="00245FAF"/>
    <w:rsid w:val="00256923"/>
    <w:rsid w:val="0026753B"/>
    <w:rsid w:val="0028116A"/>
    <w:rsid w:val="002827E6"/>
    <w:rsid w:val="00283FD8"/>
    <w:rsid w:val="0029082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894"/>
    <w:rsid w:val="003F188D"/>
    <w:rsid w:val="003F4121"/>
    <w:rsid w:val="003F49B4"/>
    <w:rsid w:val="004263F2"/>
    <w:rsid w:val="0043269D"/>
    <w:rsid w:val="004345B3"/>
    <w:rsid w:val="00441E90"/>
    <w:rsid w:val="00445DE0"/>
    <w:rsid w:val="00446456"/>
    <w:rsid w:val="00454284"/>
    <w:rsid w:val="00467A9D"/>
    <w:rsid w:val="00471798"/>
    <w:rsid w:val="00473936"/>
    <w:rsid w:val="00477A6E"/>
    <w:rsid w:val="00480FFF"/>
    <w:rsid w:val="004825ED"/>
    <w:rsid w:val="00486700"/>
    <w:rsid w:val="00491F43"/>
    <w:rsid w:val="004945B6"/>
    <w:rsid w:val="004A1CDD"/>
    <w:rsid w:val="004A5723"/>
    <w:rsid w:val="004B0C88"/>
    <w:rsid w:val="004B2CAE"/>
    <w:rsid w:val="004B5308"/>
    <w:rsid w:val="004B7482"/>
    <w:rsid w:val="004C69B1"/>
    <w:rsid w:val="004D4E6E"/>
    <w:rsid w:val="004D7FF4"/>
    <w:rsid w:val="004F596C"/>
    <w:rsid w:val="00531EA4"/>
    <w:rsid w:val="005645A0"/>
    <w:rsid w:val="00565F1E"/>
    <w:rsid w:val="005676AA"/>
    <w:rsid w:val="00570B0E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3D94"/>
    <w:rsid w:val="006A40B1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09E"/>
    <w:rsid w:val="00727604"/>
    <w:rsid w:val="00742ED5"/>
    <w:rsid w:val="007430B8"/>
    <w:rsid w:val="00743D8B"/>
    <w:rsid w:val="007443A1"/>
    <w:rsid w:val="007513A1"/>
    <w:rsid w:val="00754D3A"/>
    <w:rsid w:val="0075655D"/>
    <w:rsid w:val="00760AA2"/>
    <w:rsid w:val="00765F01"/>
    <w:rsid w:val="00797EB0"/>
    <w:rsid w:val="007A44B1"/>
    <w:rsid w:val="007A795B"/>
    <w:rsid w:val="007B6C31"/>
    <w:rsid w:val="007C3B03"/>
    <w:rsid w:val="007C7163"/>
    <w:rsid w:val="007D68A9"/>
    <w:rsid w:val="007F0193"/>
    <w:rsid w:val="007F2566"/>
    <w:rsid w:val="0080439B"/>
    <w:rsid w:val="00805110"/>
    <w:rsid w:val="00805D1B"/>
    <w:rsid w:val="00823294"/>
    <w:rsid w:val="008406EB"/>
    <w:rsid w:val="00847A3D"/>
    <w:rsid w:val="0085228E"/>
    <w:rsid w:val="00874380"/>
    <w:rsid w:val="00882E2B"/>
    <w:rsid w:val="00890A14"/>
    <w:rsid w:val="00891CC9"/>
    <w:rsid w:val="00894E35"/>
    <w:rsid w:val="00896409"/>
    <w:rsid w:val="008A2E6B"/>
    <w:rsid w:val="008A6870"/>
    <w:rsid w:val="008B206E"/>
    <w:rsid w:val="008B2965"/>
    <w:rsid w:val="008C3DB4"/>
    <w:rsid w:val="008C7670"/>
    <w:rsid w:val="008D0B2F"/>
    <w:rsid w:val="008D4C4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EC2"/>
    <w:rsid w:val="009337B2"/>
    <w:rsid w:val="009507AF"/>
    <w:rsid w:val="009602BA"/>
    <w:rsid w:val="00960BDD"/>
    <w:rsid w:val="00963C65"/>
    <w:rsid w:val="009706C8"/>
    <w:rsid w:val="0097481D"/>
    <w:rsid w:val="00975599"/>
    <w:rsid w:val="0098646D"/>
    <w:rsid w:val="00992E17"/>
    <w:rsid w:val="0099697A"/>
    <w:rsid w:val="009B63BC"/>
    <w:rsid w:val="009B75F2"/>
    <w:rsid w:val="009B7F0C"/>
    <w:rsid w:val="009C79C4"/>
    <w:rsid w:val="009D107E"/>
    <w:rsid w:val="009D3A60"/>
    <w:rsid w:val="009E5F93"/>
    <w:rsid w:val="009F5D08"/>
    <w:rsid w:val="00A03098"/>
    <w:rsid w:val="00A21F19"/>
    <w:rsid w:val="00A30C0F"/>
    <w:rsid w:val="00A36B72"/>
    <w:rsid w:val="00A454B8"/>
    <w:rsid w:val="00A54004"/>
    <w:rsid w:val="00A70700"/>
    <w:rsid w:val="00A72AAE"/>
    <w:rsid w:val="00AA3EEB"/>
    <w:rsid w:val="00AA698E"/>
    <w:rsid w:val="00AB1F7F"/>
    <w:rsid w:val="00AB253E"/>
    <w:rsid w:val="00AB2D08"/>
    <w:rsid w:val="00AC6802"/>
    <w:rsid w:val="00AD5F58"/>
    <w:rsid w:val="00AE44F0"/>
    <w:rsid w:val="00AE7C17"/>
    <w:rsid w:val="00AF088A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D8F"/>
    <w:rsid w:val="00B7414D"/>
    <w:rsid w:val="00BD2B29"/>
    <w:rsid w:val="00BE08E1"/>
    <w:rsid w:val="00BE4030"/>
    <w:rsid w:val="00BE4581"/>
    <w:rsid w:val="00BE4FC4"/>
    <w:rsid w:val="00BE5F62"/>
    <w:rsid w:val="00BE66E2"/>
    <w:rsid w:val="00BF118D"/>
    <w:rsid w:val="00BF2F4F"/>
    <w:rsid w:val="00C04BBE"/>
    <w:rsid w:val="00C225E2"/>
    <w:rsid w:val="00C2295B"/>
    <w:rsid w:val="00C51538"/>
    <w:rsid w:val="00C54035"/>
    <w:rsid w:val="00C56677"/>
    <w:rsid w:val="00C56CE3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3F0C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0739"/>
    <w:rsid w:val="00D810D7"/>
    <w:rsid w:val="00D82857"/>
    <w:rsid w:val="00D83E21"/>
    <w:rsid w:val="00D84893"/>
    <w:rsid w:val="00D92B38"/>
    <w:rsid w:val="00D92FBE"/>
    <w:rsid w:val="00DB50C0"/>
    <w:rsid w:val="00DC4A38"/>
    <w:rsid w:val="00DD6CD6"/>
    <w:rsid w:val="00E012D9"/>
    <w:rsid w:val="00E14174"/>
    <w:rsid w:val="00E1667B"/>
    <w:rsid w:val="00E24AA7"/>
    <w:rsid w:val="00E359C1"/>
    <w:rsid w:val="00E41FBA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0F81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679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84740"/>
    <w:rsid w:val="00F92E16"/>
    <w:rsid w:val="00F97516"/>
    <w:rsid w:val="00F97BAF"/>
    <w:rsid w:val="00FA127B"/>
    <w:rsid w:val="00FB066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EA390-4F0B-4D7D-8221-E91EB4C7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Char3CharCharChar">
    <w:name w:val="Char3 Char Char Char"/>
    <w:basedOn w:val="Normal"/>
    <w:next w:val="Normal"/>
    <w:semiHidden/>
    <w:rsid w:val="003E6894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1368-EA67-4CDD-AFFD-4B4E064D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Sargsyan</cp:lastModifiedBy>
  <cp:revision>2</cp:revision>
  <cp:lastPrinted>2012-06-13T06:43:00Z</cp:lastPrinted>
  <dcterms:created xsi:type="dcterms:W3CDTF">2019-04-09T15:58:00Z</dcterms:created>
  <dcterms:modified xsi:type="dcterms:W3CDTF">2019-04-09T15:58:00Z</dcterms:modified>
</cp:coreProperties>
</file>